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165" w:rsidRDefault="00B00165" w:rsidP="00B00165">
      <w:pPr>
        <w:pStyle w:val="a3"/>
        <w:adjustRightInd w:val="0"/>
        <w:snapToGrid w:val="0"/>
        <w:spacing w:beforeLines="50" w:before="120" w:line="360" w:lineRule="auto"/>
        <w:jc w:val="both"/>
        <w:rPr>
          <w:rFonts w:asciiTheme="minorEastAsia" w:eastAsiaTheme="minorEastAsia" w:hAnsiTheme="minorEastAsia" w:cstheme="minorEastAsia"/>
          <w:b/>
          <w:bCs/>
          <w:spacing w:val="11"/>
          <w:sz w:val="24"/>
          <w:szCs w:val="24"/>
        </w:rPr>
      </w:pPr>
      <w:r>
        <w:rPr>
          <w:rFonts w:asciiTheme="minorEastAsia" w:eastAsiaTheme="minorEastAsia" w:hAnsiTheme="minorEastAsia" w:cstheme="minorEastAsia" w:hint="eastAsia"/>
          <w:b/>
          <w:bCs/>
          <w:spacing w:val="11"/>
          <w:sz w:val="24"/>
          <w:szCs w:val="24"/>
        </w:rPr>
        <w:t>附件二：</w:t>
      </w:r>
      <w:r w:rsidRPr="00446A86">
        <w:rPr>
          <w:rFonts w:asciiTheme="minorEastAsia" w:eastAsiaTheme="minorEastAsia" w:hAnsiTheme="minorEastAsia" w:cstheme="minorEastAsia" w:hint="eastAsia"/>
          <w:spacing w:val="11"/>
          <w:sz w:val="24"/>
          <w:szCs w:val="24"/>
          <w:lang w:eastAsia="zh-Hans"/>
        </w:rPr>
        <w:t>主讲人</w:t>
      </w:r>
      <w:r w:rsidRPr="00446A86">
        <w:rPr>
          <w:rFonts w:asciiTheme="minorEastAsia" w:eastAsiaTheme="minorEastAsia" w:hAnsiTheme="minorEastAsia" w:cstheme="minorEastAsia" w:hint="eastAsia"/>
          <w:spacing w:val="11"/>
          <w:sz w:val="24"/>
          <w:szCs w:val="24"/>
        </w:rPr>
        <w:t>介绍</w:t>
      </w:r>
    </w:p>
    <w:p w:rsidR="00B00165" w:rsidRDefault="00B00165" w:rsidP="00B00165">
      <w:pPr>
        <w:pStyle w:val="a3"/>
        <w:adjustRightInd w:val="0"/>
        <w:snapToGrid w:val="0"/>
        <w:spacing w:beforeLines="50" w:before="120" w:line="360" w:lineRule="auto"/>
        <w:ind w:firstLine="698"/>
        <w:jc w:val="both"/>
        <w:rPr>
          <w:rFonts w:asciiTheme="minorEastAsia" w:eastAsiaTheme="minorEastAsia" w:hAnsiTheme="minorEastAsia" w:cstheme="minorEastAsia"/>
          <w:b/>
          <w:bCs/>
          <w:spacing w:val="11"/>
          <w:sz w:val="24"/>
          <w:szCs w:val="24"/>
        </w:rPr>
      </w:pPr>
      <w:r>
        <w:rPr>
          <w:rFonts w:asciiTheme="minorEastAsia" w:eastAsiaTheme="minorEastAsia" w:hAnsiTheme="minorEastAsia" w:cstheme="minorEastAsia" w:hint="eastAsia"/>
          <w:b/>
          <w:bCs/>
          <w:spacing w:val="11"/>
          <w:sz w:val="24"/>
          <w:szCs w:val="24"/>
        </w:rPr>
        <w:t>林</w:t>
      </w:r>
      <w:proofErr w:type="gramStart"/>
      <w:r>
        <w:rPr>
          <w:rFonts w:asciiTheme="minorEastAsia" w:eastAsiaTheme="minorEastAsia" w:hAnsiTheme="minorEastAsia" w:cstheme="minorEastAsia" w:hint="eastAsia"/>
          <w:b/>
          <w:bCs/>
          <w:spacing w:val="11"/>
          <w:sz w:val="24"/>
          <w:szCs w:val="24"/>
        </w:rPr>
        <w:t>镥</w:t>
      </w:r>
      <w:proofErr w:type="gramEnd"/>
      <w:r>
        <w:rPr>
          <w:rFonts w:asciiTheme="minorEastAsia" w:eastAsiaTheme="minorEastAsia" w:hAnsiTheme="minorEastAsia" w:cstheme="minorEastAsia" w:hint="eastAsia"/>
          <w:b/>
          <w:bCs/>
          <w:spacing w:val="11"/>
          <w:sz w:val="24"/>
          <w:szCs w:val="24"/>
        </w:rPr>
        <w:t>海 律师</w:t>
      </w:r>
    </w:p>
    <w:p w:rsidR="00B00165" w:rsidRPr="00E14CD2" w:rsidRDefault="00B00165" w:rsidP="00E14CD2">
      <w:pPr>
        <w:pStyle w:val="a3"/>
        <w:adjustRightInd w:val="0"/>
        <w:snapToGrid w:val="0"/>
        <w:spacing w:beforeLines="50" w:before="120" w:line="600" w:lineRule="exact"/>
        <w:ind w:firstLine="697"/>
        <w:jc w:val="both"/>
        <w:rPr>
          <w:rFonts w:ascii="仿宋_GB2312" w:eastAsia="仿宋_GB2312" w:hAnsiTheme="minorEastAsia" w:cstheme="minorEastAsia" w:hint="eastAsia"/>
          <w:spacing w:val="11"/>
          <w:sz w:val="24"/>
          <w:szCs w:val="24"/>
        </w:rPr>
      </w:pPr>
      <w:r w:rsidRPr="00E14CD2">
        <w:rPr>
          <w:rFonts w:ascii="仿宋_GB2312" w:eastAsia="仿宋_GB2312" w:hAnsiTheme="minorEastAsia" w:cstheme="minorEastAsia" w:hint="eastAsia"/>
          <w:spacing w:val="11"/>
          <w:sz w:val="24"/>
          <w:szCs w:val="24"/>
        </w:rPr>
        <w:t>一级律师，全国优秀律师，现任中华全国律师协会建设 工程与房地产专业委员会副主任、盈科全国建设工程与房地产法律服务运管中心主任、上海仲裁委员会仲裁员、上海市浙江商会副会长，最高人民检察院民事行政案件咨询专家。</w:t>
      </w:r>
    </w:p>
    <w:p w:rsidR="00B00165" w:rsidRPr="00E14CD2" w:rsidRDefault="00B00165" w:rsidP="00E14CD2">
      <w:pPr>
        <w:pStyle w:val="a3"/>
        <w:adjustRightInd w:val="0"/>
        <w:snapToGrid w:val="0"/>
        <w:spacing w:beforeLines="50" w:before="120" w:line="600" w:lineRule="exact"/>
        <w:ind w:firstLine="697"/>
        <w:jc w:val="both"/>
        <w:rPr>
          <w:rFonts w:ascii="仿宋_GB2312" w:eastAsia="仿宋_GB2312" w:hAnsiTheme="minorEastAsia" w:cstheme="minorEastAsia" w:hint="eastAsia"/>
          <w:spacing w:val="11"/>
          <w:sz w:val="24"/>
          <w:szCs w:val="24"/>
        </w:rPr>
      </w:pPr>
      <w:r w:rsidRPr="00E14CD2">
        <w:rPr>
          <w:rFonts w:ascii="仿宋_GB2312" w:eastAsia="仿宋_GB2312" w:hAnsiTheme="minorEastAsia" w:cstheme="minorEastAsia" w:hint="eastAsia"/>
          <w:spacing w:val="11"/>
          <w:sz w:val="24"/>
          <w:szCs w:val="24"/>
        </w:rPr>
        <w:t>在理论研究方面，林</w:t>
      </w:r>
      <w:proofErr w:type="gramStart"/>
      <w:r w:rsidRPr="00E14CD2">
        <w:rPr>
          <w:rFonts w:ascii="仿宋_GB2312" w:eastAsia="仿宋_GB2312" w:hAnsiTheme="minorEastAsia" w:cstheme="minorEastAsia" w:hint="eastAsia"/>
          <w:spacing w:val="11"/>
          <w:sz w:val="24"/>
          <w:szCs w:val="24"/>
        </w:rPr>
        <w:t>镥海律师</w:t>
      </w:r>
      <w:proofErr w:type="gramEnd"/>
      <w:r w:rsidRPr="00E14CD2">
        <w:rPr>
          <w:rFonts w:ascii="仿宋_GB2312" w:eastAsia="仿宋_GB2312" w:hAnsiTheme="minorEastAsia" w:cstheme="minorEastAsia" w:hint="eastAsia"/>
          <w:spacing w:val="11"/>
          <w:sz w:val="24"/>
          <w:szCs w:val="24"/>
        </w:rPr>
        <w:t>作为主执笔人，参与起草了《中华全国律师协会律师办理建设工程法律业务操作指引》、《中华全国律师协会律师为买受人办理商品房买卖合同法律服务操作指引》和《中华全国律师协会律师为开发商办 理商品房买卖合同法律服务操作指引》的编写工作，并组织和起草了《中华全国律师协会律师提供房屋租赁合同诉讼和仲裁法律服务操作指引》、《中华全国律师协会律师提供房屋租赁合同非诉讼法律服务的操作指引》、《中华全国律师协会律师办理保障性住房为主的房地产投融资法律业务操作指引》及《中华全国律师协会律师为投融资方式破解拖欠农民 工工资提供非诉讼法律服务的操作指引》。林律师撰写的《&lt; 建设工程施工合同司法解释&gt;操作指南——建筑商之孙子兵法》由法律出版社 2005 年 1 月出版，被上海市施工行业协会推荐为“施工企业读本”，该书同时也深受广大建筑商及建筑工程专业律师好评，目前已经是第八次印刷；其主编的《建筑工程法律服务操作实务</w:t>
      </w:r>
      <w:r w:rsidRPr="00E14CD2">
        <w:rPr>
          <w:rFonts w:ascii="宋体" w:eastAsia="宋体" w:hAnsi="宋体" w:cs="宋体" w:hint="eastAsia"/>
          <w:spacing w:val="11"/>
          <w:sz w:val="24"/>
          <w:szCs w:val="24"/>
        </w:rPr>
        <w:t>――</w:t>
      </w:r>
      <w:r w:rsidRPr="00E14CD2">
        <w:rPr>
          <w:rFonts w:ascii="仿宋_GB2312" w:eastAsia="仿宋_GB2312" w:hAnsi="仿宋_GB2312" w:cs="仿宋_GB2312" w:hint="eastAsia"/>
          <w:spacing w:val="11"/>
          <w:sz w:val="24"/>
          <w:szCs w:val="24"/>
        </w:rPr>
        <w:t>建筑企业的风险防范与效益创造》由北京大学出版社</w:t>
      </w:r>
      <w:r w:rsidRPr="00E14CD2">
        <w:rPr>
          <w:rFonts w:ascii="仿宋_GB2312" w:eastAsia="仿宋_GB2312" w:hAnsiTheme="minorEastAsia" w:cstheme="minorEastAsia" w:hint="eastAsia"/>
          <w:spacing w:val="11"/>
          <w:sz w:val="24"/>
          <w:szCs w:val="24"/>
        </w:rPr>
        <w:t xml:space="preserve"> 2012 年 2 月出版；其主编的《建筑商之孙子兵法三》由法律出版社2018年11月出版；其主编的《民营建筑企业权益保护探索及破解之道--建筑商之孙子兵法四》由法律出版社2020年9月出版。</w:t>
      </w:r>
    </w:p>
    <w:p w:rsidR="00E14CD2" w:rsidRDefault="00E14CD2" w:rsidP="00E14CD2">
      <w:pPr>
        <w:pStyle w:val="a3"/>
        <w:adjustRightInd w:val="0"/>
        <w:snapToGrid w:val="0"/>
        <w:spacing w:beforeLines="50" w:before="120" w:line="360" w:lineRule="auto"/>
        <w:jc w:val="both"/>
        <w:rPr>
          <w:rFonts w:asciiTheme="minorEastAsia" w:eastAsiaTheme="minorEastAsia" w:hAnsiTheme="minorEastAsia" w:cstheme="minorEastAsia"/>
          <w:spacing w:val="11"/>
          <w:sz w:val="24"/>
          <w:szCs w:val="24"/>
        </w:rPr>
      </w:pPr>
    </w:p>
    <w:p w:rsidR="00B00165" w:rsidRDefault="00B00165" w:rsidP="00B00165">
      <w:pPr>
        <w:pStyle w:val="a3"/>
        <w:adjustRightInd w:val="0"/>
        <w:snapToGrid w:val="0"/>
        <w:spacing w:beforeLines="50" w:before="120" w:line="360" w:lineRule="auto"/>
        <w:ind w:right="334" w:firstLineChars="200" w:firstLine="486"/>
        <w:rPr>
          <w:rFonts w:asciiTheme="minorEastAsia" w:eastAsiaTheme="minorEastAsia" w:hAnsiTheme="minorEastAsia" w:cstheme="minorEastAsia"/>
          <w:b/>
          <w:bCs/>
          <w:spacing w:val="1"/>
          <w:sz w:val="24"/>
          <w:szCs w:val="24"/>
        </w:rPr>
      </w:pPr>
      <w:r>
        <w:rPr>
          <w:rFonts w:asciiTheme="minorEastAsia" w:eastAsiaTheme="minorEastAsia" w:hAnsiTheme="minorEastAsia" w:cstheme="minorEastAsia" w:hint="eastAsia"/>
          <w:b/>
          <w:bCs/>
          <w:spacing w:val="1"/>
          <w:sz w:val="24"/>
          <w:szCs w:val="24"/>
        </w:rPr>
        <w:lastRenderedPageBreak/>
        <w:t>顾龙祥 高级顾问</w:t>
      </w:r>
    </w:p>
    <w:p w:rsidR="00B00165" w:rsidRPr="00E14CD2" w:rsidRDefault="00B00165" w:rsidP="00E14CD2">
      <w:pPr>
        <w:pStyle w:val="a3"/>
        <w:adjustRightInd w:val="0"/>
        <w:snapToGrid w:val="0"/>
        <w:spacing w:beforeLines="50" w:before="120" w:line="600" w:lineRule="exact"/>
        <w:ind w:right="335" w:firstLineChars="200" w:firstLine="524"/>
        <w:rPr>
          <w:rFonts w:ascii="仿宋_GB2312" w:eastAsia="仿宋_GB2312" w:hAnsiTheme="minorEastAsia" w:cstheme="minorEastAsia" w:hint="eastAsia"/>
          <w:spacing w:val="1"/>
          <w:sz w:val="24"/>
          <w:szCs w:val="24"/>
        </w:rPr>
      </w:pPr>
      <w:r w:rsidRPr="00E14CD2">
        <w:rPr>
          <w:rFonts w:ascii="仿宋_GB2312" w:eastAsia="仿宋_GB2312" w:hAnsiTheme="minorEastAsia" w:cstheme="minorEastAsia" w:hint="eastAsia"/>
          <w:spacing w:val="11"/>
          <w:sz w:val="24"/>
          <w:szCs w:val="24"/>
        </w:rPr>
        <w:t>盈科全国建设工程与房地产法律服务运管中心</w:t>
      </w:r>
      <w:r w:rsidRPr="00E14CD2">
        <w:rPr>
          <w:rFonts w:ascii="仿宋_GB2312" w:eastAsia="仿宋_GB2312" w:hAnsiTheme="minorEastAsia" w:cstheme="minorEastAsia" w:hint="eastAsia"/>
          <w:spacing w:val="1"/>
          <w:sz w:val="24"/>
          <w:szCs w:val="24"/>
        </w:rPr>
        <w:t>高级顾问， 毕业于上海大学，于1968 年开始工作，并在90 年代初期就具备了注册会计师、注册造价工程师、注册房地产估价师、注册资产评估师、中国税务师、司法鉴定人等执业资格，1995年起担任上海市高级人民法院指定为第一批上海市司法鉴定人员。</w:t>
      </w:r>
    </w:p>
    <w:p w:rsidR="00B00165" w:rsidRPr="00E14CD2" w:rsidRDefault="00B00165" w:rsidP="00E14CD2">
      <w:pPr>
        <w:pStyle w:val="a3"/>
        <w:adjustRightInd w:val="0"/>
        <w:snapToGrid w:val="0"/>
        <w:spacing w:beforeLines="50" w:before="120" w:line="600" w:lineRule="exact"/>
        <w:ind w:right="335" w:firstLineChars="200" w:firstLine="484"/>
        <w:rPr>
          <w:rFonts w:ascii="仿宋_GB2312" w:eastAsia="仿宋_GB2312" w:hAnsiTheme="minorEastAsia" w:cstheme="minorEastAsia" w:hint="eastAsia"/>
          <w:spacing w:val="1"/>
          <w:sz w:val="24"/>
          <w:szCs w:val="24"/>
        </w:rPr>
      </w:pPr>
      <w:r w:rsidRPr="00E14CD2">
        <w:rPr>
          <w:rFonts w:ascii="仿宋_GB2312" w:eastAsia="仿宋_GB2312" w:hAnsiTheme="minorEastAsia" w:cstheme="minorEastAsia" w:hint="eastAsia"/>
          <w:spacing w:val="1"/>
          <w:sz w:val="24"/>
          <w:szCs w:val="24"/>
        </w:rPr>
        <w:t>顾龙祥有丰富的全职工程项目全过程管理经历，具备了丰富的建筑工程造价专业知识和司法鉴定的实践经验。曾任房产公司财务总监、常务副总经理、建筑公司合约经理等职，先后负责过大型办公楼、商务楼、住宅小区等各类工程项目的全过程项目管理，在工程索赔与反索赔方面有丰富的理论知识及实践经验。几十年来一直以建筑业与房地产业为专业方向，丰富的工作经历、阅历和多种知识结构，使得在工程造价管理和项目管理的各类非诉讼和诉讼服务中游刃有余。</w:t>
      </w:r>
    </w:p>
    <w:p w:rsidR="00115201" w:rsidRPr="00E14CD2" w:rsidRDefault="00115201">
      <w:pPr>
        <w:rPr>
          <w:rFonts w:ascii="仿宋_GB2312" w:eastAsia="仿宋_GB2312" w:hint="eastAsia"/>
        </w:rPr>
      </w:pPr>
      <w:bookmarkStart w:id="0" w:name="_GoBack"/>
      <w:bookmarkEnd w:id="0"/>
    </w:p>
    <w:sectPr w:rsidR="00115201" w:rsidRPr="00E14CD2">
      <w:footerReference w:type="even" r:id="rId7"/>
      <w:footerReference w:type="default" r:id="rId8"/>
      <w:pgSz w:w="11900" w:h="16840"/>
      <w:pgMar w:top="1417" w:right="1701" w:bottom="1417" w:left="1701" w:header="0" w:footer="9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A9B" w:rsidRDefault="00C81A9B">
      <w:r>
        <w:separator/>
      </w:r>
    </w:p>
  </w:endnote>
  <w:endnote w:type="continuationSeparator" w:id="0">
    <w:p w:rsidR="00C81A9B" w:rsidRDefault="00C8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28" w:rsidRDefault="00C81A9B">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B28" w:rsidRDefault="00B0016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76A3EAB9" wp14:editId="0970AA7B">
              <wp:simplePos x="0" y="0"/>
              <wp:positionH relativeFrom="page">
                <wp:posOffset>6313170</wp:posOffset>
              </wp:positionH>
              <wp:positionV relativeFrom="page">
                <wp:posOffset>9927590</wp:posOffset>
              </wp:positionV>
              <wp:extent cx="114935" cy="20383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4935" cy="203835"/>
                      </a:xfrm>
                      <a:prstGeom prst="rect">
                        <a:avLst/>
                      </a:prstGeom>
                      <a:noFill/>
                      <a:ln w="9525">
                        <a:noFill/>
                      </a:ln>
                    </wps:spPr>
                    <wps:txbx>
                      <w:txbxContent>
                        <w:p w:rsidR="00AC3B28" w:rsidRDefault="00B00165">
                          <w:pPr>
                            <w:spacing w:line="321" w:lineRule="exact"/>
                            <w:ind w:left="20"/>
                            <w:rPr>
                              <w:rFonts w:ascii="宋体"/>
                              <w:sz w:val="28"/>
                            </w:rPr>
                          </w:pPr>
                          <w:r>
                            <w:rPr>
                              <w:rFonts w:ascii="宋体"/>
                              <w:sz w:val="28"/>
                            </w:rPr>
                            <w:t>5</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497.1pt;margin-top:781.7pt;width:9.05pt;height:16.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" filled="f" stroked="f">
              <v:textbox inset="0,0,0,0">
                <w:txbxContent>
                  <w:p w:rsidR="00AC3B28" w:rsidRDefault="00B00165">
                    <w:pPr>
                      <w:spacing w:line="321" w:lineRule="exact"/>
                      <w:ind w:left="20"/>
                      <w:rPr>
                        <w:rFonts w:ascii="宋体"/>
                        <w:sz w:val="28"/>
                      </w:rPr>
                    </w:pPr>
                    <w:r>
                      <w:rPr>
                        <w:rFonts w:ascii="宋体"/>
                        <w:sz w:val="28"/>
                      </w:rPr>
                      <w:t>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A9B" w:rsidRDefault="00C81A9B">
      <w:r>
        <w:separator/>
      </w:r>
    </w:p>
  </w:footnote>
  <w:footnote w:type="continuationSeparator" w:id="0">
    <w:p w:rsidR="00C81A9B" w:rsidRDefault="00C81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65"/>
    <w:rsid w:val="00115201"/>
    <w:rsid w:val="00B00165"/>
    <w:rsid w:val="00C81A9B"/>
    <w:rsid w:val="00E14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00165"/>
    <w:pPr>
      <w:widowControl w:val="0"/>
      <w:autoSpaceDE w:val="0"/>
      <w:autoSpaceDN w:val="0"/>
    </w:pPr>
    <w:rPr>
      <w:rFonts w:ascii="仿宋" w:eastAsia="仿宋" w:hAnsi="仿宋" w:cs="仿宋"/>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00165"/>
    <w:rPr>
      <w:sz w:val="32"/>
      <w:szCs w:val="32"/>
    </w:rPr>
  </w:style>
  <w:style w:type="character" w:customStyle="1" w:styleId="Char">
    <w:name w:val="正文文本 Char"/>
    <w:basedOn w:val="a0"/>
    <w:link w:val="a3"/>
    <w:uiPriority w:val="1"/>
    <w:rsid w:val="00B00165"/>
    <w:rPr>
      <w:rFonts w:ascii="仿宋" w:eastAsia="仿宋" w:hAnsi="仿宋" w:cs="仿宋"/>
      <w:kern w:val="0"/>
      <w:sz w:val="32"/>
      <w:szCs w:val="32"/>
    </w:rPr>
  </w:style>
  <w:style w:type="paragraph" w:styleId="a4">
    <w:name w:val="header"/>
    <w:basedOn w:val="a"/>
    <w:link w:val="Char0"/>
    <w:uiPriority w:val="99"/>
    <w:unhideWhenUsed/>
    <w:rsid w:val="00E14C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14CD2"/>
    <w:rPr>
      <w:rFonts w:ascii="仿宋" w:eastAsia="仿宋" w:hAnsi="仿宋" w:cs="仿宋"/>
      <w:kern w:val="0"/>
      <w:sz w:val="18"/>
      <w:szCs w:val="18"/>
    </w:rPr>
  </w:style>
  <w:style w:type="paragraph" w:styleId="a5">
    <w:name w:val="footer"/>
    <w:basedOn w:val="a"/>
    <w:link w:val="Char1"/>
    <w:uiPriority w:val="99"/>
    <w:unhideWhenUsed/>
    <w:rsid w:val="00E14CD2"/>
    <w:pPr>
      <w:tabs>
        <w:tab w:val="center" w:pos="4153"/>
        <w:tab w:val="right" w:pos="8306"/>
      </w:tabs>
      <w:snapToGrid w:val="0"/>
    </w:pPr>
    <w:rPr>
      <w:sz w:val="18"/>
      <w:szCs w:val="18"/>
    </w:rPr>
  </w:style>
  <w:style w:type="character" w:customStyle="1" w:styleId="Char1">
    <w:name w:val="页脚 Char"/>
    <w:basedOn w:val="a0"/>
    <w:link w:val="a5"/>
    <w:uiPriority w:val="99"/>
    <w:rsid w:val="00E14CD2"/>
    <w:rPr>
      <w:rFonts w:ascii="仿宋" w:eastAsia="仿宋" w:hAnsi="仿宋" w:cs="仿宋"/>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00165"/>
    <w:pPr>
      <w:widowControl w:val="0"/>
      <w:autoSpaceDE w:val="0"/>
      <w:autoSpaceDN w:val="0"/>
    </w:pPr>
    <w:rPr>
      <w:rFonts w:ascii="仿宋" w:eastAsia="仿宋" w:hAnsi="仿宋" w:cs="仿宋"/>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00165"/>
    <w:rPr>
      <w:sz w:val="32"/>
      <w:szCs w:val="32"/>
    </w:rPr>
  </w:style>
  <w:style w:type="character" w:customStyle="1" w:styleId="Char">
    <w:name w:val="正文文本 Char"/>
    <w:basedOn w:val="a0"/>
    <w:link w:val="a3"/>
    <w:uiPriority w:val="1"/>
    <w:rsid w:val="00B00165"/>
    <w:rPr>
      <w:rFonts w:ascii="仿宋" w:eastAsia="仿宋" w:hAnsi="仿宋" w:cs="仿宋"/>
      <w:kern w:val="0"/>
      <w:sz w:val="32"/>
      <w:szCs w:val="32"/>
    </w:rPr>
  </w:style>
  <w:style w:type="paragraph" w:styleId="a4">
    <w:name w:val="header"/>
    <w:basedOn w:val="a"/>
    <w:link w:val="Char0"/>
    <w:uiPriority w:val="99"/>
    <w:unhideWhenUsed/>
    <w:rsid w:val="00E14C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14CD2"/>
    <w:rPr>
      <w:rFonts w:ascii="仿宋" w:eastAsia="仿宋" w:hAnsi="仿宋" w:cs="仿宋"/>
      <w:kern w:val="0"/>
      <w:sz w:val="18"/>
      <w:szCs w:val="18"/>
    </w:rPr>
  </w:style>
  <w:style w:type="paragraph" w:styleId="a5">
    <w:name w:val="footer"/>
    <w:basedOn w:val="a"/>
    <w:link w:val="Char1"/>
    <w:uiPriority w:val="99"/>
    <w:unhideWhenUsed/>
    <w:rsid w:val="00E14CD2"/>
    <w:pPr>
      <w:tabs>
        <w:tab w:val="center" w:pos="4153"/>
        <w:tab w:val="right" w:pos="8306"/>
      </w:tabs>
      <w:snapToGrid w:val="0"/>
    </w:pPr>
    <w:rPr>
      <w:sz w:val="18"/>
      <w:szCs w:val="18"/>
    </w:rPr>
  </w:style>
  <w:style w:type="character" w:customStyle="1" w:styleId="Char1">
    <w:name w:val="页脚 Char"/>
    <w:basedOn w:val="a0"/>
    <w:link w:val="a5"/>
    <w:uiPriority w:val="99"/>
    <w:rsid w:val="00E14CD2"/>
    <w:rPr>
      <w:rFonts w:ascii="仿宋" w:eastAsia="仿宋" w:hAnsi="仿宋" w:cs="仿宋"/>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2021-05-20T02:31:00Z</dcterms:created>
  <dcterms:modified xsi:type="dcterms:W3CDTF">2021-05-20T02:53:00Z</dcterms:modified>
</cp:coreProperties>
</file>